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80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jc w:val="center"/>
      </w:pPr>
      <w:r>
        <w:rPr>
          <w:rFonts w:ascii="Arial" w:cs="Arial" w:eastAsia="Arial" w:hAnsi="Arial"/>
          <w:color w:val="6A6A65"/>
          <w:sz w:val="22"/>
          <w:szCs w:val="22"/>
        </w:rPr>
        <w:t xml:space="preserve">Meridian Elevator Group</w:t>
      </w:r>
    </w:p>
    <w:p>
      <w:pPr>
        <w:spacing w:before="160"/>
        <w:jc w:val="center"/>
      </w:pPr>
      <w:r>
        <w:rPr>
          <w:rFonts w:ascii="Arial" w:cs="Arial" w:eastAsia="Arial" w:hAnsi="Arial"/>
          <w:b/>
          <w:bCs/>
          <w:color w:val="1F3864"/>
          <w:sz w:val="56"/>
          <w:szCs w:val="56"/>
        </w:rPr>
        <w:t xml:space="preserve">Requirements Specification</w:t>
      </w:r>
    </w:p>
    <w:p>
      <w:pPr>
        <w:spacing w:before="160"/>
        <w:jc w:val="center"/>
      </w:pPr>
      <w:r>
        <w:rPr>
          <w:rFonts w:ascii="Arial" w:cs="Arial" w:eastAsia="Arial" w:hAnsi="Arial"/>
          <w:color w:val="6A6A65"/>
          <w:sz w:val="22"/>
          <w:szCs w:val="22"/>
        </w:rPr>
        <w:t xml:space="preserve">Carve-out &amp; separation discovery · locked baseline v1.0</w:t>
      </w:r>
    </w:p>
    <w:p>
      <w:pPr>
        <w:spacing w:before="1200"/>
        <w:jc w:val="center"/>
      </w:pPr>
      <w:r>
        <w:rPr>
          <w:rFonts w:ascii="Arial" w:cs="Arial" w:eastAsia="Arial" w:hAnsi="Arial"/>
          <w:color w:val="6A6A65"/>
          <w:sz w:val="20"/>
          <w:szCs w:val="20"/>
        </w:rPr>
        <w:t xml:space="preserve">Noema · Niya Consulting — June 2026</w:t>
      </w:r>
    </w:p>
    <w:p>
      <w:pPr>
        <w:spacing w:before="120"/>
        <w:jc w:val="center"/>
      </w:pPr>
      <w:r>
        <w:rPr>
          <w:rFonts w:ascii="Arial" w:cs="Arial" w:eastAsia="Arial" w:hAnsi="Arial"/>
          <w:color w:val="6A6A65"/>
          <w:sz w:val="16"/>
          <w:szCs w:val="16"/>
        </w:rPr>
        <w:t xml:space="preserve">SAMPLE — illustrative engagement data · Confidential, for discussion purposes</w:t>
      </w:r>
    </w:p>
    <w:p>
      <w:r>
        <w:br w:type="page"/>
      </w:r>
    </w:p>
    <w:p>
      <w:pPr>
        <w:pStyle w:val="Heading1"/>
        <w:spacing w:after="140" w:before="360"/>
      </w:pPr>
      <w:r>
        <w:rPr>
          <w:rFonts w:ascii="Arial" w:cs="Arial" w:eastAsia="Arial" w:hAnsi="Arial"/>
          <w:b/>
          <w:bCs/>
          <w:color w:val="1F3864"/>
          <w:sz w:val="30"/>
          <w:szCs w:val="30"/>
        </w:rPr>
        <w:t xml:space="preserve">Document control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Version</w:t>
            </w:r>
          </w:p>
        </w:tc>
        <w:tc>
          <w:tcPr>
            <w:tcW w:type="pct" w:w="7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v1.0 — generated from locked discovery baseline (2026-06-05 · 14:02)</w:t>
            </w:r>
          </w:p>
        </w:tc>
      </w:tr>
      <w:tr>
        <w:tc>
          <w:tcPr>
            <w:tcW w:type="pct" w:w="2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Prepared by</w:t>
            </w:r>
          </w:p>
        </w:tc>
        <w:tc>
          <w:tcPr>
            <w:tcW w:type="pct" w:w="7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Noema · engagement principal, Niya Consulting</w:t>
            </w:r>
          </w:p>
        </w:tc>
      </w:tr>
      <w:tr>
        <w:tc>
          <w:tcPr>
            <w:tcW w:type="pct" w:w="2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Approved by</w:t>
            </w:r>
          </w:p>
        </w:tc>
        <w:tc>
          <w:tcPr>
            <w:tcW w:type="pct" w:w="7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K. Maurer, CFO — Meridian Elevator Group</w:t>
            </w:r>
          </w:p>
        </w:tc>
      </w:tr>
      <w:tr>
        <w:tc>
          <w:tcPr>
            <w:tcW w:type="pct" w:w="2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Traceability</w:t>
            </w:r>
          </w:p>
        </w:tc>
        <w:tc>
          <w:tcPr>
            <w:tcW w:type="pct" w:w="7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Every requirement carries its source: discovery item → interview moment</w:t>
            </w:r>
          </w:p>
        </w:tc>
      </w:tr>
      <w:tr>
        <w:tc>
          <w:tcPr>
            <w:tcW w:type="pct" w:w="2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 control</w:t>
            </w:r>
          </w:p>
        </w:tc>
        <w:tc>
          <w:tcPr>
            <w:tcW w:type="pct" w:w="7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Re-exported from Noema on baseline change; manual edits are versioned in-platform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spacing w:after="140" w:before="360"/>
      </w:pPr>
      <w:r>
        <w:rPr>
          <w:rFonts w:ascii="Arial" w:cs="Arial" w:eastAsia="Arial" w:hAnsi="Arial"/>
          <w:b/>
          <w:bCs/>
          <w:color w:val="1F3864"/>
          <w:sz w:val="30"/>
          <w:szCs w:val="30"/>
        </w:rPr>
        <w:t xml:space="preserve">1 · Scope and conventions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This specification covers the processes in the separation perimeter: Procure-to-Pay, Order-to-Cash, Record-to-Report, and the supporting application estate, across three sites (DE plant, IT plant, global SSC). Requirements are stated solution-neutrally; “Target” denotes the future stand-alone platform regardless of vendor.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Priority uses MoSCoW (Must / Should / Could). Fit reflects the locked assessment: Fit, Config, Integration, or Custom. The source column traces each requirement to the discovery item and the interview moment that evidence it — the same trace is navigable live in Noema.</w:t>
      </w:r>
    </w:p>
    <w:p>
      <w:pPr>
        <w:pStyle w:val="Heading1"/>
        <w:spacing w:after="140" w:before="360"/>
      </w:pPr>
      <w:r>
        <w:rPr>
          <w:rFonts w:ascii="Arial" w:cs="Arial" w:eastAsia="Arial" w:hAnsi="Arial"/>
          <w:b/>
          <w:bCs/>
          <w:color w:val="1F3864"/>
          <w:sz w:val="30"/>
          <w:szCs w:val="30"/>
        </w:rPr>
        <w:t xml:space="preserve">2 · Procure-to-Pay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2.1 · Pricing and supplier master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Requirement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Fit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/ trace</w:t>
            </w:r>
          </w:p>
        </w:tc>
      </w:tr>
      <w:t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R-007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Maintain a standalone VAT code set for the IT entity, validated at invoice capture without manual mapping.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Must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Config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DI-014 · M. Rossi, INT-04 14:31</w:t>
            </w:r>
          </w:p>
        </w:tc>
      </w:tr>
      <w:t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R-008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Operate an own price master; the parent price feed is severed at day one with a 4-week dual-run.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Must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Config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DI-015 / OP-01 · INT-04 14:32</w:t>
            </w:r>
          </w:p>
        </w:tc>
      </w:tr>
      <w:t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R-009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Run accounts-payable workflow independent of the parent shared service centre by end of TSA (9 months).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Must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Process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DI-016 / OP-02 · INT-01 10:05</w:t>
            </w:r>
          </w:p>
        </w:tc>
      </w:tr>
      <w:t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R-010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Maintain a slim supplier master with deduplication on VAT ID and IBAN.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Should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Config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INT-05 · J. Weiss 11:52</w:t>
            </w:r>
          </w:p>
        </w:tc>
      </w:tr>
    </w:tbl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2.2 · Approvals and ordering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Requirement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Fit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/ trace</w:t>
            </w:r>
          </w:p>
        </w:tc>
      </w:tr>
      <w:t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R-011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Route approvals by value threshold and category, with a complete audit trail; no email-based approvals above €1k.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Must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Config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DI-021 · J. Weiss, INT-05 11:40</w:t>
            </w:r>
          </w:p>
        </w:tc>
      </w:tr>
      <w:t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R-012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Provide touchless PO creation for approved requisitions at or below €50k.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Should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Config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INT-01 · K. Maurer 10:30</w:t>
            </w:r>
          </w:p>
        </w:tc>
      </w:tr>
      <w:t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R-013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Implement the German works-council review as a statutory hold step in the approval workflow (DE scope).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Must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Config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V-03 · H. Brandt, INT-02 09:55</w:t>
            </w:r>
          </w:p>
        </w:tc>
      </w:tr>
    </w:tbl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2.3 · Invoice capture and payment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Requirement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Fit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/ trace</w:t>
            </w:r>
          </w:p>
        </w:tc>
      </w:tr>
      <w:t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R-014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Receive and validate SdI / FatturaPA e-invoices natively (IT scope); eliminate manual rekeying entirely.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Must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Integration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GAP-002 / DI-014 · INT-04 14:31</w:t>
            </w:r>
          </w:p>
        </w:tc>
      </w:tr>
      <w:t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R-015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Generate the Italian protocol register system-side in statutory format.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Must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Config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V-02 · M. Rossi, INT-04 14:38</w:t>
            </w:r>
          </w:p>
        </w:tc>
      </w:tr>
      <w:t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R-016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Execute payment runs from an own treasury workbench with direct bank connectivity; no dependence on parent treasury after day one.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Must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Integration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GAP-006 / DI-016 · INT-01 10:05</w:t>
            </w:r>
          </w:p>
        </w:tc>
      </w:tr>
      <w:t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R-017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Perform automated 3-way match with exception workbench and SLAs.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Should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Config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GAP-005 · INT-05 11:45</w:t>
            </w:r>
          </w:p>
        </w:tc>
      </w:tr>
    </w:tbl>
    <w:p>
      <w:pPr>
        <w:pStyle w:val="Heading1"/>
        <w:spacing w:after="140" w:before="360"/>
      </w:pPr>
      <w:r>
        <w:rPr>
          <w:rFonts w:ascii="Arial" w:cs="Arial" w:eastAsia="Arial" w:hAnsi="Arial"/>
          <w:b/>
          <w:bCs/>
          <w:color w:val="1F3864"/>
          <w:sz w:val="30"/>
          <w:szCs w:val="30"/>
        </w:rPr>
        <w:t xml:space="preserve">3 · Order-to-Cash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Requirement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Fit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/ trace</w:t>
            </w:r>
          </w:p>
        </w:tc>
      </w:tr>
      <w:t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R-018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Operate an own credit policy with external bureau integration; no dependence on the parent bureau feed.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Must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Integration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GAP-007 / DI-024 · INT-06 11:08</w:t>
            </w:r>
          </w:p>
        </w:tc>
      </w:tr>
      <w:t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R-019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Issue SdI-compliant outbound invoices including bollo stamp duty handling (IT scope).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Must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Integration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V-04 · L. Conti, INT-06 11:20</w:t>
            </w:r>
          </w:p>
        </w:tc>
      </w:tr>
      <w:t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R-020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Provide a collections workbench with three-step dunning and promise-to-pay tracking.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Should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Config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GAP-009 · INT-06 11:32</w:t>
            </w:r>
          </w:p>
        </w:tc>
      </w:tr>
      <w:t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R-021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Retain the existing WMS; integrate via standard interfaces for fulfilment and shipping.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Should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Integration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INT-08 · P. Lang 10:20</w:t>
            </w:r>
          </w:p>
        </w:tc>
      </w:tr>
    </w:tbl>
    <w:p>
      <w:pPr>
        <w:pStyle w:val="Heading1"/>
        <w:spacing w:after="140" w:before="360"/>
      </w:pPr>
      <w:r>
        <w:rPr>
          <w:rFonts w:ascii="Arial" w:cs="Arial" w:eastAsia="Arial" w:hAnsi="Arial"/>
          <w:b/>
          <w:bCs/>
          <w:color w:val="1F3864"/>
          <w:sz w:val="30"/>
          <w:szCs w:val="30"/>
        </w:rPr>
        <w:t xml:space="preserve">4 · Record-to-Report and estate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Requirement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Fit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1F386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/ trace</w:t>
            </w:r>
          </w:p>
        </w:tc>
      </w:tr>
      <w:t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R-022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Operate an own general ledger and produce the group reporting pack independently of the parent consolidation platform by end of TSA (12 months).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Must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Process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GAP-010 / DI-018 · INT-03 09:12</w:t>
            </w:r>
          </w:p>
        </w:tc>
      </w:tr>
      <w:t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R-023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Re-paper intercompany flows with the former parent as third-party trade, including tax treatment.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Must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Process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  <w:shd w:fill="F2F5FA" w:val="clea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GAP-011 · INT-01 10:22</w:t>
            </w:r>
          </w:p>
        </w:tc>
      </w:tr>
      <w:tr>
        <w:tc>
          <w:tcPr>
            <w:tcW w:type="pct" w:w="9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R-024</w:t>
            </w:r>
          </w:p>
        </w:tc>
        <w:tc>
          <w:tcPr>
            <w:tcW w:type="pct" w:w="41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Disposition each of the 60+ parent-hosted applications (rehost / replace / retire) before cutover planning.</w:t>
            </w:r>
          </w:p>
        </w:tc>
        <w:tc>
          <w:tcPr>
            <w:tcW w:type="pct" w:w="12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Must</w:t>
            </w:r>
          </w:p>
        </w:tc>
        <w:tc>
          <w:tcPr>
            <w:tcW w:type="pct" w:w="10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Process</w:t>
            </w:r>
          </w:p>
        </w:tc>
        <w:tc>
          <w:tcPr>
            <w:tcW w:type="pct" w:w="28%"/>
            <w:tcBorders>
              <w:top w:val="single" w:color="D6DCE5" w:sz="4"/>
              <w:left w:val="single" w:color="D6DCE5" w:sz="4"/>
              <w:bottom w:val="single" w:color="D6DCE5" w:sz="4"/>
              <w:right w:val="single" w:color="D6DCE5" w:sz="4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OP-03 / DI-022 · INT-07 15:02</w:t>
            </w:r>
          </w:p>
        </w:tc>
      </w:tr>
    </w:tbl>
    <w:p>
      <w:pPr>
        <w:pStyle w:val="Heading1"/>
        <w:spacing w:after="140" w:before="360"/>
      </w:pPr>
      <w:r>
        <w:rPr>
          <w:rFonts w:ascii="Arial" w:cs="Arial" w:eastAsia="Arial" w:hAnsi="Arial"/>
          <w:b/>
          <w:bCs/>
          <w:color w:val="1F3864"/>
          <w:sz w:val="30"/>
          <w:szCs w:val="30"/>
        </w:rPr>
        <w:t xml:space="preserve">Appendix · Reading the trace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6A6A65"/>
          <w:sz w:val="18"/>
          <w:szCs w:val="18"/>
        </w:rPr>
        <w:t xml:space="preserve">Each source reference is navigable in Noema: the requirement opens its assessment row, the underlying discovery item, and the exact transcript moment — speaker, timestamp, sentence. Nothing in this document is more than three clicks from the words that evidence it.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6A6A65"/>
          <w:sz w:val="18"/>
          <w:szCs w:val="18"/>
        </w:rPr>
        <w:t xml:space="preserve">This is a sample export on illustrative engagement data. Formatting, numbering and traceability mirror a live engagement export.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Arial" w:cs="Arial" w:eastAsia="Arial" w:hAnsi="Arial"/>
        <w:color w:val="6A6A65"/>
        <w:sz w:val="14"/>
        <w:szCs w:val="14"/>
      </w:rPr>
      <w:t xml:space="preserve">Meridian — Requirements Specification v1.0 · SAMPLE · Confidential    </w:t>
    </w:r>
    <w:r>
      <w:rPr>
        <w:rFonts w:ascii="Arial" w:cs="Arial" w:eastAsia="Arial" w:hAnsi="Arial"/>
        <w:color w:val="6A6A65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Noema · Niya Consulting</dc:creator>
  <cp:lastModifiedBy>Un-named</cp:lastModifiedBy>
  <cp:revision>1</cp:revision>
  <dcterms:created xsi:type="dcterms:W3CDTF">2026-06-12T01:09:17.053Z</dcterms:created>
  <dcterms:modified xsi:type="dcterms:W3CDTF">2026-06-12T01:09:17.056Z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